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sz w:val="24"/>
          <w:szCs w:val="24"/>
        </w:rPr>
      </w:pPr>
      <w:r w:rsidDel="00000000" w:rsidR="00000000" w:rsidRPr="00000000">
        <w:rPr>
          <w:rFonts w:ascii="Calibri" w:cs="Calibri" w:eastAsia="Calibri" w:hAnsi="Calibri"/>
          <w:sz w:val="24"/>
          <w:szCs w:val="24"/>
        </w:rPr>
        <w:drawing>
          <wp:inline distB="0" distT="0" distL="0" distR="0">
            <wp:extent cx="1765195" cy="989059"/>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65195" cy="989059"/>
                    </a:xfrm>
                    <a:prstGeom prst="rect"/>
                    <a:ln/>
                  </pic:spPr>
                </pic:pic>
              </a:graphicData>
            </a:graphic>
          </wp:inline>
        </w:drawing>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color w:val="000000"/>
          <w:sz w:val="24"/>
          <w:szCs w:val="24"/>
          <w:rtl w:val="0"/>
        </w:rPr>
        <w:t xml:space="preserve">REGLAMENTO DE TORNEOS</w:t>
      </w:r>
      <w:r w:rsidDel="00000000" w:rsidR="00000000" w:rsidRPr="00000000">
        <w:rPr>
          <w:rFonts w:ascii="Calibri" w:cs="Calibri" w:eastAsia="Calibri" w:hAnsi="Calibri"/>
          <w:b w:val="1"/>
          <w:bCs w:val="1"/>
          <w:sz w:val="24"/>
          <w:szCs w:val="24"/>
          <w:rtl w:val="0"/>
        </w:rPr>
        <w:t xml:space="preserve"> SINGLE</w:t>
      </w:r>
      <w:r w:rsidDel="00000000" w:rsidR="00000000" w:rsidRPr="00000000">
        <w:rPr>
          <w:rFonts w:ascii="Calibri" w:cs="Calibri" w:eastAsia="Calibri" w:hAnsi="Calibri"/>
          <w:b w:val="1"/>
          <w:bCs w:val="1"/>
          <w:color w:val="000000"/>
          <w:sz w:val="24"/>
          <w:szCs w:val="24"/>
          <w:rtl w:val="0"/>
        </w:rPr>
        <w:t xml:space="preserve"> “LIFE  202</w:t>
      </w:r>
      <w:r w:rsidDel="00000000" w:rsidR="00000000" w:rsidRPr="00000000">
        <w:rPr>
          <w:rFonts w:ascii="Calibri" w:cs="Calibri" w:eastAsia="Calibri" w:hAnsi="Calibri"/>
          <w:b w:val="1"/>
          <w:bCs w:val="1"/>
          <w:sz w:val="24"/>
          <w:szCs w:val="24"/>
          <w:rtl w:val="0"/>
        </w:rPr>
        <w:t xml:space="preserve">6</w:t>
      </w:r>
      <w:r w:rsidDel="00000000" w:rsidR="00000000" w:rsidRPr="00000000">
        <w:rPr>
          <w:rFonts w:ascii="Calibri" w:cs="Calibri" w:eastAsia="Calibri" w:hAnsi="Calibri"/>
          <w:b w:val="1"/>
          <w:bCs w:val="1"/>
          <w:color w:val="000000"/>
          <w:sz w:val="24"/>
          <w:szCs w:val="24"/>
          <w:rtl w:val="0"/>
        </w:rPr>
        <w:t xml:space="preserve">”</w:t>
      </w:r>
    </w:p>
    <w:p w:rsidR="00000000" w:rsidDel="00000000" w:rsidP="00000000" w:rsidRDefault="00000000" w:rsidRPr="00000000" w14:paraId="00000003">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24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Días y Horarios: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25"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horario de los partidos deberá cumplirse rigurosamente.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La mesa pasará W.O. a los 10 minutos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del tiempo reglamentario. </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pacing w:before="120" w:line="360" w:lineRule="auto"/>
        <w:ind w:left="14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Primer turno</w:t>
        <w:tab/>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09:</w:t>
      </w:r>
      <w:r w:rsidDel="00000000" w:rsidR="00000000" w:rsidRPr="00000000">
        <w:rPr>
          <w:rFonts w:ascii="Calibri" w:cs="Calibri" w:eastAsia="Calibri" w:hAnsi="Calibri"/>
          <w:sz w:val="24"/>
          <w:szCs w:val="24"/>
          <w:rtl w:val="0"/>
        </w:rPr>
        <w:t xml:space="preserve">00</w:t>
      </w:r>
      <w:r w:rsidDel="00000000" w:rsidR="00000000" w:rsidRPr="00000000">
        <w:rPr>
          <w:rFonts w:ascii="Calibri" w:cs="Calibri" w:eastAsia="Calibri" w:hAnsi="Calibri"/>
          <w:color w:val="000000"/>
          <w:sz w:val="24"/>
          <w:szCs w:val="24"/>
          <w:rtl w:val="0"/>
        </w:rPr>
        <w:t xml:space="preserve"> a 10:</w:t>
      </w:r>
      <w:r w:rsidDel="00000000" w:rsidR="00000000" w:rsidRPr="00000000">
        <w:rPr>
          <w:rFonts w:ascii="Calibri" w:cs="Calibri" w:eastAsia="Calibri" w:hAnsi="Calibri"/>
          <w:sz w:val="24"/>
          <w:szCs w:val="24"/>
          <w:rtl w:val="0"/>
        </w:rPr>
        <w:t xml:space="preserve">30 hrs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pacing w:before="120" w:line="360" w:lineRule="auto"/>
        <w:ind w:left="14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Segundo turno: 10:</w:t>
      </w:r>
      <w:r w:rsidDel="00000000" w:rsidR="00000000" w:rsidRPr="00000000">
        <w:rPr>
          <w:rFonts w:ascii="Calibri" w:cs="Calibri" w:eastAsia="Calibri" w:hAnsi="Calibri"/>
          <w:sz w:val="24"/>
          <w:szCs w:val="24"/>
          <w:rtl w:val="0"/>
        </w:rPr>
        <w:t xml:space="preserve">30</w:t>
      </w:r>
      <w:r w:rsidDel="00000000" w:rsidR="00000000" w:rsidRPr="00000000">
        <w:rPr>
          <w:rFonts w:ascii="Calibri" w:cs="Calibri" w:eastAsia="Calibri" w:hAnsi="Calibri"/>
          <w:color w:val="000000"/>
          <w:sz w:val="24"/>
          <w:szCs w:val="24"/>
          <w:rtl w:val="0"/>
        </w:rPr>
        <w:t xml:space="preserve"> a 1</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00 hrs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pacing w:before="120" w:line="360" w:lineRule="auto"/>
        <w:ind w:left="14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Tercer turno</w:t>
        <w:tab/>
        <w:t xml:space="preserve">: 12:</w:t>
      </w:r>
      <w:r w:rsidDel="00000000" w:rsidR="00000000" w:rsidRPr="00000000">
        <w:rPr>
          <w:rFonts w:ascii="Calibri" w:cs="Calibri" w:eastAsia="Calibri" w:hAnsi="Calibri"/>
          <w:sz w:val="24"/>
          <w:szCs w:val="24"/>
          <w:rtl w:val="0"/>
        </w:rPr>
        <w:t xml:space="preserve">0</w:t>
      </w:r>
      <w:r w:rsidDel="00000000" w:rsidR="00000000" w:rsidRPr="00000000">
        <w:rPr>
          <w:rFonts w:ascii="Calibri" w:cs="Calibri" w:eastAsia="Calibri" w:hAnsi="Calibri"/>
          <w:color w:val="000000"/>
          <w:sz w:val="24"/>
          <w:szCs w:val="24"/>
          <w:rtl w:val="0"/>
        </w:rPr>
        <w:t xml:space="preserve">0 a 1</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color w:val="000000"/>
          <w:sz w:val="24"/>
          <w:szCs w:val="24"/>
          <w:rtl w:val="0"/>
        </w:rPr>
        <w:t xml:space="preserve">0 hrs.</w:t>
      </w:r>
    </w:p>
    <w:p w:rsidR="00000000" w:rsidDel="00000000" w:rsidP="00000000" w:rsidRDefault="00000000" w:rsidRPr="00000000" w14:paraId="0000000A">
      <w:pPr>
        <w:spacing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3. Las fechas y horarios de partidos los determina la directiva con sus directoras de Torneo, según cantidad de canchas y número de jugadoras participantes. </w:t>
      </w:r>
    </w:p>
    <w:p w:rsidR="00000000" w:rsidDel="00000000" w:rsidP="00000000" w:rsidRDefault="00000000" w:rsidRPr="00000000" w14:paraId="0000000B">
      <w:pPr>
        <w:spacing w:before="12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Requisitos: </w:t>
      </w:r>
    </w:p>
    <w:p w:rsidR="00000000" w:rsidDel="00000000" w:rsidP="00000000" w:rsidRDefault="00000000" w:rsidRPr="00000000" w14:paraId="0000000D">
      <w:pPr>
        <w:numPr>
          <w:ilvl w:val="0"/>
          <w:numId w:val="1"/>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jugadoras deberán inscribirse, pagando el valor del torneo con las Capitanas de su categoría, hasta la fecha y horario indicado por calendario como cierre de inscripción.</w:t>
      </w:r>
    </w:p>
    <w:p w:rsidR="00000000" w:rsidDel="00000000" w:rsidP="00000000" w:rsidRDefault="00000000" w:rsidRPr="00000000" w14:paraId="0000000E">
      <w:pPr>
        <w:numPr>
          <w:ilvl w:val="0"/>
          <w:numId w:val="1"/>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jugadoras deberán presentarse a los torneos de singles con uniforme Life completo. De no cumplirse esta norma, se les exigirá el pago de una multa de $5.000 como condición para jugar, </w:t>
      </w:r>
      <w:r w:rsidDel="00000000" w:rsidR="00000000" w:rsidRPr="00000000">
        <w:rPr>
          <w:rFonts w:ascii="Calibri" w:cs="Calibri" w:eastAsia="Calibri" w:hAnsi="Calibri"/>
          <w:sz w:val="24"/>
          <w:szCs w:val="24"/>
          <w:rtl w:val="0"/>
        </w:rPr>
        <w:t xml:space="preserve">cada día que se presente sin uniforme. Las jugadoras nuevas que no tengan uniforme, deberán ir con ropa de tenis negra.</w:t>
      </w:r>
    </w:p>
    <w:p w:rsidR="00000000" w:rsidDel="00000000" w:rsidP="00000000" w:rsidRDefault="00000000" w:rsidRPr="00000000" w14:paraId="0000000F">
      <w:pPr>
        <w:numPr>
          <w:ilvl w:val="0"/>
          <w:numId w:val="1"/>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participar en torneos LIFE, es requisito fundamental estar inscrita en los registros de la Escalerilla de Singles o Dobles, como socia activa de Life. Las solo reemplazantes no pueden jugar torneos internos. Para los torneos de singles regirá el ranking single.</w:t>
      </w:r>
    </w:p>
    <w:p w:rsidR="00000000" w:rsidDel="00000000" w:rsidP="00000000" w:rsidRDefault="00000000" w:rsidRPr="00000000" w14:paraId="00000010">
      <w:pPr>
        <w:numPr>
          <w:ilvl w:val="0"/>
          <w:numId w:val="1"/>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jugadoras que tengan un certificado médico vigente NO podrán inscribirse en ningún torneo.</w:t>
      </w:r>
    </w:p>
    <w:p w:rsidR="00000000" w:rsidDel="00000000" w:rsidP="00000000" w:rsidRDefault="00000000" w:rsidRPr="00000000" w14:paraId="00000011">
      <w:pPr>
        <w:numPr>
          <w:ilvl w:val="0"/>
          <w:numId w:val="1"/>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valor de la inscripción será de $25.000 los singles. Las Capitanas y directoras pagarán la mitad del valor de inscripción. Esta cantidad deberá ser transferida a la respectiva capitana en el momento de la inscripción.</w:t>
      </w:r>
    </w:p>
    <w:p w:rsidR="00000000" w:rsidDel="00000000" w:rsidP="00000000" w:rsidRDefault="00000000" w:rsidRPr="00000000" w14:paraId="00000012">
      <w:pPr>
        <w:numPr>
          <w:ilvl w:val="0"/>
          <w:numId w:val="1"/>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jugadora podrá solicitar horario </w:t>
      </w:r>
      <w:r w:rsidDel="00000000" w:rsidR="00000000" w:rsidRPr="00000000">
        <w:rPr>
          <w:rFonts w:ascii="Calibri" w:cs="Calibri" w:eastAsia="Calibri" w:hAnsi="Calibri"/>
          <w:color w:val="000000"/>
          <w:sz w:val="24"/>
          <w:szCs w:val="24"/>
          <w:rtl w:val="0"/>
        </w:rPr>
        <w:t xml:space="preserve">solo una vez</w:t>
      </w:r>
      <w:r w:rsidDel="00000000" w:rsidR="00000000" w:rsidRPr="00000000">
        <w:rPr>
          <w:rFonts w:ascii="Calibri" w:cs="Calibri" w:eastAsia="Calibri" w:hAnsi="Calibri"/>
          <w:sz w:val="24"/>
          <w:szCs w:val="24"/>
          <w:rtl w:val="0"/>
        </w:rPr>
        <w:t xml:space="preserve"> en el año y al momento de inscribirse con su Capitana. Esta petición solo podrá ser para el día lunes.</w:t>
      </w:r>
    </w:p>
    <w:p w:rsidR="00000000" w:rsidDel="00000000" w:rsidP="00000000" w:rsidRDefault="00000000" w:rsidRPr="00000000" w14:paraId="00000013">
      <w:pPr>
        <w:numPr>
          <w:ilvl w:val="0"/>
          <w:numId w:val="1"/>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vez que los cuadros estén hechos ya no se podrán realizar cambios. </w:t>
      </w:r>
    </w:p>
    <w:p w:rsidR="00000000" w:rsidDel="00000000" w:rsidP="00000000" w:rsidRDefault="00000000" w:rsidRPr="00000000" w14:paraId="00000014">
      <w:pPr>
        <w:numPr>
          <w:ilvl w:val="0"/>
          <w:numId w:val="1"/>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que se inscriban menos de ocho jugadoras de la categoría en un torneo, la directiva buscará alguna alternativa de juego para las inscritas.</w:t>
      </w:r>
    </w:p>
    <w:p w:rsidR="00000000" w:rsidDel="00000000" w:rsidP="00000000" w:rsidRDefault="00000000" w:rsidRPr="00000000" w14:paraId="00000015">
      <w:pPr>
        <w:numPr>
          <w:ilvl w:val="0"/>
          <w:numId w:val="1"/>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antes de iniciarse el torneo, alguna jugadora se retira, podrá entrar en su reemplazo otra de la misma categoría (“lucky looser”).</w:t>
      </w:r>
    </w:p>
    <w:p w:rsidR="00000000" w:rsidDel="00000000" w:rsidP="00000000" w:rsidRDefault="00000000" w:rsidRPr="00000000" w14:paraId="00000016">
      <w:pPr>
        <w:spacing w:before="120"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4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Modalidad de juego: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numPr>
          <w:ilvl w:val="0"/>
          <w:numId w:val="3"/>
        </w:numPr>
        <w:spacing w:before="120" w:line="276" w:lineRule="auto"/>
        <w:ind w:left="6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partidos se jugarán con la misma modalidad que los singles, es decir, al mejor de 3 sets con tie break y con punto de oro, siendo el 3ro. un super tie break a 10 con diferencia de 2.</w:t>
      </w:r>
    </w:p>
    <w:p w:rsidR="00000000" w:rsidDel="00000000" w:rsidP="00000000" w:rsidRDefault="00000000" w:rsidRPr="00000000" w14:paraId="0000001A">
      <w:pPr>
        <w:numPr>
          <w:ilvl w:val="0"/>
          <w:numId w:val="3"/>
        </w:numPr>
        <w:spacing w:before="120" w:line="276" w:lineRule="auto"/>
        <w:ind w:left="6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lluvia o por fuerza mayor la Directiva efectuará las modificaciones que estime convenientes.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Suspensiones y retiros: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1F">
      <w:pPr>
        <w:numPr>
          <w:ilvl w:val="0"/>
          <w:numId w:val="4"/>
        </w:numPr>
        <w:spacing w:before="120" w:line="276" w:lineRule="auto"/>
        <w:ind w:left="644"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jugadora que avise que no jugará el próximo partido deberá hacerlo por escrito; se pasará W.O. sin necesidad de que la jugadora ganadora se presente en la mesa.</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240" w:line="276" w:lineRule="auto"/>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Puntaje: </w:t>
      </w:r>
    </w:p>
    <w:p w:rsidR="00000000" w:rsidDel="00000000" w:rsidP="00000000" w:rsidRDefault="00000000" w:rsidRPr="00000000" w14:paraId="00000022">
      <w:pPr>
        <w:numPr>
          <w:ilvl w:val="0"/>
          <w:numId w:val="2"/>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participación en cada torneo (dos singles) otorgará 1 punto por cada uno. Para obtener este punto la jugadora no podrá retirarse del torneo salvo con certificado médico. Si la jugadora presenta certificado médico antes de su primer partido tendrá 0 puntos por participación. Estos puntos se adjudicarán sólo al término de la Escalerilla.</w:t>
      </w:r>
    </w:p>
    <w:p w:rsidR="00000000" w:rsidDel="00000000" w:rsidP="00000000" w:rsidRDefault="00000000" w:rsidRPr="00000000" w14:paraId="00000023">
      <w:pPr>
        <w:numPr>
          <w:ilvl w:val="0"/>
          <w:numId w:val="2"/>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Torneo de Singles tiene un puntaje, dependiendo del número de participantes y cantidad de estrellas del cuadro.</w:t>
      </w:r>
    </w:p>
    <w:p w:rsidR="00000000" w:rsidDel="00000000" w:rsidP="00000000" w:rsidRDefault="00000000" w:rsidRPr="00000000" w14:paraId="00000024">
      <w:pPr>
        <w:numPr>
          <w:ilvl w:val="0"/>
          <w:numId w:val="2"/>
        </w:numPr>
        <w:spacing w:before="120" w:line="276" w:lineRule="auto"/>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Si el primer día de torneo se produce más de un (1) W.O, la Directiva de Torneo reevaluará el número de estrellas correspondientes</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025">
      <w:pPr>
        <w:numPr>
          <w:ilvl w:val="0"/>
          <w:numId w:val="2"/>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Cabezas de Serie del primer torneo del año serán según el ranking del año anterior.  Y para el resto de los torneos se determinará según el ranking del torneo anterior.</w:t>
      </w:r>
      <w:r w:rsidDel="00000000" w:rsidR="00000000" w:rsidRPr="00000000">
        <w:rPr>
          <w:rFonts w:ascii="Calibri" w:cs="Calibri" w:eastAsia="Calibri" w:hAnsi="Calibri"/>
          <w:sz w:val="24"/>
          <w:szCs w:val="24"/>
          <w:highlight w:val="yellow"/>
          <w:rtl w:val="0"/>
        </w:rPr>
        <w:t xml:space="preserve"> </w:t>
      </w:r>
      <w:r w:rsidDel="00000000" w:rsidR="00000000" w:rsidRPr="00000000">
        <w:rPr>
          <w:rtl w:val="0"/>
        </w:rPr>
      </w:r>
    </w:p>
    <w:p w:rsidR="00000000" w:rsidDel="00000000" w:rsidP="00000000" w:rsidRDefault="00000000" w:rsidRPr="00000000" w14:paraId="00000026">
      <w:pPr>
        <w:numPr>
          <w:ilvl w:val="0"/>
          <w:numId w:val="2"/>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acuerdo con este reglamento, </w:t>
      </w:r>
      <w:r w:rsidDel="00000000" w:rsidR="00000000" w:rsidRPr="00000000">
        <w:rPr>
          <w:rFonts w:ascii="Calibri" w:cs="Calibri" w:eastAsia="Calibri" w:hAnsi="Calibri"/>
          <w:b w:val="1"/>
          <w:bCs w:val="1"/>
          <w:sz w:val="24"/>
          <w:szCs w:val="24"/>
          <w:rtl w:val="0"/>
        </w:rPr>
        <w:t xml:space="preserve">solo una jugadora pasará a la categoría superior.</w:t>
      </w:r>
      <w:r w:rsidDel="00000000" w:rsidR="00000000" w:rsidRPr="00000000">
        <w:rPr>
          <w:rFonts w:ascii="Calibri" w:cs="Calibri" w:eastAsia="Calibri" w:hAnsi="Calibri"/>
          <w:sz w:val="24"/>
          <w:szCs w:val="24"/>
          <w:rtl w:val="0"/>
        </w:rPr>
        <w:t xml:space="preserve"> Será la jugadora que haya acumulado el mayor puntaje en los torneos, siendo el puntaje mínimo para subir de categoría 100 puntos. </w:t>
      </w:r>
    </w:p>
    <w:p w:rsidR="00000000" w:rsidDel="00000000" w:rsidP="00000000" w:rsidRDefault="00000000" w:rsidRPr="00000000" w14:paraId="00000027">
      <w:pPr>
        <w:spacing w:before="120" w:line="276" w:lineRule="auto"/>
        <w:ind w:left="643"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caso de empate de puntaje, este se definirá:</w:t>
      </w:r>
    </w:p>
    <w:p w:rsidR="00000000" w:rsidDel="00000000" w:rsidP="00000000" w:rsidRDefault="00000000" w:rsidRPr="00000000" w14:paraId="00000028">
      <w:pPr>
        <w:numPr>
          <w:ilvl w:val="0"/>
          <w:numId w:val="7"/>
        </w:numPr>
        <w:pBdr>
          <w:top w:space="0" w:sz="0" w:val="nil"/>
          <w:left w:space="0" w:sz="0" w:val="nil"/>
          <w:bottom w:space="0" w:sz="0" w:val="nil"/>
          <w:right w:space="0" w:sz="0" w:val="nil"/>
          <w:between w:space="0" w:sz="0" w:val="nil"/>
        </w:pBdr>
        <w:spacing w:before="120" w:line="276" w:lineRule="auto"/>
        <w:ind w:left="21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Mayor número de partidos ganados.</w:t>
      </w:r>
    </w:p>
    <w:p w:rsidR="00000000" w:rsidDel="00000000" w:rsidP="00000000" w:rsidRDefault="00000000" w:rsidRPr="00000000" w14:paraId="00000029">
      <w:pPr>
        <w:numPr>
          <w:ilvl w:val="0"/>
          <w:numId w:val="7"/>
        </w:numPr>
        <w:pBdr>
          <w:top w:space="0" w:sz="0" w:val="nil"/>
          <w:left w:space="0" w:sz="0" w:val="nil"/>
          <w:bottom w:space="0" w:sz="0" w:val="nil"/>
          <w:right w:space="0" w:sz="0" w:val="nil"/>
          <w:between w:space="0" w:sz="0" w:val="nil"/>
        </w:pBdr>
        <w:spacing w:line="276" w:lineRule="auto"/>
        <w:ind w:left="21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Mayor número de partidos ganados en 2 sets.</w:t>
      </w:r>
    </w:p>
    <w:p w:rsidR="00000000" w:rsidDel="00000000" w:rsidP="00000000" w:rsidRDefault="00000000" w:rsidRPr="00000000" w14:paraId="0000002A">
      <w:pPr>
        <w:spacing w:before="120" w:line="276"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numPr>
          <w:ilvl w:val="0"/>
          <w:numId w:val="2"/>
        </w:numPr>
        <w:spacing w:before="12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jugadoras que estén dentro del cuadro y pierdan por W.O. en cualquier etapa del torneo sin justificación médica, no tendrán el punto por participación para la Escalerilla, sin ser perjudicada la jugadora favorecida con el W.O.  </w:t>
      </w:r>
    </w:p>
    <w:p w:rsidR="00000000" w:rsidDel="00000000" w:rsidP="00000000" w:rsidRDefault="00000000" w:rsidRPr="00000000" w14:paraId="0000002C">
      <w:pPr>
        <w:spacing w:before="120" w:line="276" w:lineRule="auto"/>
        <w:ind w:left="72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Varios:</w:t>
      </w:r>
    </w:p>
    <w:p w:rsidR="00000000" w:rsidDel="00000000" w:rsidP="00000000" w:rsidRDefault="00000000" w:rsidRPr="00000000" w14:paraId="0000002D">
      <w:pPr>
        <w:spacing w:before="120" w:line="27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Las pelotas de los torneos, estarán a cargo de LIFE.</w:t>
      </w:r>
    </w:p>
    <w:p w:rsidR="00000000" w:rsidDel="00000000" w:rsidP="00000000" w:rsidRDefault="00000000" w:rsidRPr="00000000" w14:paraId="0000002E">
      <w:pPr>
        <w:spacing w:before="120" w:line="27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Las jugadoras tienen derecho a solicitar la presencia del árbitro, para solucionar o dilucidar cualquier problema o duda que surja en el partido, pero no para arbitrar un partido completo. En caso de que no lleguen a acuerdo serán descalificadas y no podrán representar a la LIFE en torneos externos.</w:t>
      </w:r>
    </w:p>
    <w:p w:rsidR="00000000" w:rsidDel="00000000" w:rsidP="00000000" w:rsidRDefault="00000000" w:rsidRPr="00000000" w14:paraId="0000002F">
      <w:pPr>
        <w:spacing w:before="120" w:line="27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La designación del árbitro, y la composición de “mesa” de cada torneo, será determinada por la Directiva de LIFE.</w:t>
      </w:r>
    </w:p>
    <w:p w:rsidR="00000000" w:rsidDel="00000000" w:rsidP="00000000" w:rsidRDefault="00000000" w:rsidRPr="00000000" w14:paraId="00000030">
      <w:pPr>
        <w:spacing w:before="120" w:line="27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Ante situaciones de conflicto que surgieran en los partidos, les recordamos que las </w:t>
      </w:r>
      <w:r w:rsidDel="00000000" w:rsidR="00000000" w:rsidRPr="00000000">
        <w:rPr>
          <w:rFonts w:ascii="Calibri" w:cs="Calibri" w:eastAsia="Calibri" w:hAnsi="Calibri"/>
          <w:b w:val="1"/>
          <w:bCs w:val="1"/>
          <w:sz w:val="24"/>
          <w:szCs w:val="24"/>
          <w:rtl w:val="0"/>
        </w:rPr>
        <w:t xml:space="preserve">DIRECTORAS</w:t>
      </w:r>
      <w:r w:rsidDel="00000000" w:rsidR="00000000" w:rsidRPr="00000000">
        <w:rPr>
          <w:rFonts w:ascii="Calibri" w:cs="Calibri" w:eastAsia="Calibri" w:hAnsi="Calibri"/>
          <w:sz w:val="24"/>
          <w:szCs w:val="24"/>
          <w:rtl w:val="0"/>
        </w:rPr>
        <w:t xml:space="preserve"> son </w:t>
      </w:r>
      <w:r w:rsidDel="00000000" w:rsidR="00000000" w:rsidRPr="00000000">
        <w:rPr>
          <w:rFonts w:ascii="Calibri" w:cs="Calibri" w:eastAsia="Calibri" w:hAnsi="Calibri"/>
          <w:b w:val="1"/>
          <w:bCs w:val="1"/>
          <w:sz w:val="24"/>
          <w:szCs w:val="24"/>
          <w:rtl w:val="0"/>
        </w:rPr>
        <w:t xml:space="preserve">ÁRBITROS</w:t>
      </w:r>
      <w:r w:rsidDel="00000000" w:rsidR="00000000" w:rsidRPr="00000000">
        <w:rPr>
          <w:rFonts w:ascii="Calibri" w:cs="Calibri" w:eastAsia="Calibri" w:hAnsi="Calibri"/>
          <w:sz w:val="24"/>
          <w:szCs w:val="24"/>
          <w:rtl w:val="0"/>
        </w:rPr>
        <w:t xml:space="preserve">, por lo tanto, pueden recurrir a ellas. Además, existe la “mesa”, donde pueden pedir que quede registro de cualquier desavenencia que se produzca. Así quedará constancia de la situación, para que con posterioridad sea analizada por la directiva.</w:t>
      </w:r>
    </w:p>
    <w:p w:rsidR="00000000" w:rsidDel="00000000" w:rsidP="00000000" w:rsidRDefault="00000000" w:rsidRPr="00000000" w14:paraId="00000031">
      <w:pPr>
        <w:spacing w:before="120" w:line="276" w:lineRule="auto"/>
        <w:ind w:left="72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2">
      <w:pPr>
        <w:spacing w:before="240" w:line="276"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Nota: la Directiva se reserva el derecho de evaluar situaciones especiales.</w:t>
      </w:r>
    </w:p>
    <w:sectPr>
      <w:pgSz w:h="15840" w:w="12240" w:orient="portrait"/>
      <w:pgMar w:bottom="1440" w:top="1440" w:left="1080" w:right="10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Arial" w:cs="Arial" w:eastAsia="Arial" w:hAnsi="Arial"/>
        <w:b w:val="1"/>
        <w:bCs w:val="1"/>
        <w:shd w:fill="auto" w:val="clea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644" w:hanging="359.9999999999998"/>
      </w:pPr>
      <w:rPr>
        <w:color w:val="00000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
    <w:lvl w:ilvl="0">
      <w:start w:val="1"/>
      <w:numFmt w:val="decimal"/>
      <w:lvlText w:val="%1."/>
      <w:lvlJc w:val="left"/>
      <w:pPr>
        <w:ind w:left="644" w:hanging="359.9999999999998"/>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5">
    <w:lvl w:ilvl="0">
      <w:start w:val="1"/>
      <w:numFmt w:val="decimal"/>
      <w:lvlText w:val="%1."/>
      <w:lvlJc w:val="left"/>
      <w:pPr>
        <w:ind w:left="525" w:hanging="360"/>
      </w:pPr>
      <w:rPr>
        <w:b w:val="0"/>
        <w:bCs w:val="0"/>
        <w:color w:val="000000"/>
      </w:rPr>
    </w:lvl>
    <w:lvl w:ilvl="1">
      <w:start w:val="1"/>
      <w:numFmt w:val="lowerLetter"/>
      <w:lvlText w:val="%2."/>
      <w:lvlJc w:val="left"/>
      <w:pPr>
        <w:ind w:left="1245" w:hanging="360"/>
      </w:pPr>
      <w:rPr/>
    </w:lvl>
    <w:lvl w:ilvl="2">
      <w:start w:val="1"/>
      <w:numFmt w:val="lowerRoman"/>
      <w:lvlText w:val="%3."/>
      <w:lvlJc w:val="right"/>
      <w:pPr>
        <w:ind w:left="1965" w:hanging="180"/>
      </w:pPr>
      <w:rPr/>
    </w:lvl>
    <w:lvl w:ilvl="3">
      <w:start w:val="1"/>
      <w:numFmt w:val="decimal"/>
      <w:lvlText w:val="%4."/>
      <w:lvlJc w:val="left"/>
      <w:pPr>
        <w:ind w:left="2685" w:hanging="360"/>
      </w:pPr>
      <w:rPr/>
    </w:lvl>
    <w:lvl w:ilvl="4">
      <w:start w:val="1"/>
      <w:numFmt w:val="lowerLetter"/>
      <w:lvlText w:val="%5."/>
      <w:lvlJc w:val="left"/>
      <w:pPr>
        <w:ind w:left="3405" w:hanging="360"/>
      </w:pPr>
      <w:rPr/>
    </w:lvl>
    <w:lvl w:ilvl="5">
      <w:start w:val="1"/>
      <w:numFmt w:val="lowerRoman"/>
      <w:lvlText w:val="%6."/>
      <w:lvlJc w:val="right"/>
      <w:pPr>
        <w:ind w:left="4125" w:hanging="180"/>
      </w:pPr>
      <w:rPr/>
    </w:lvl>
    <w:lvl w:ilvl="6">
      <w:start w:val="1"/>
      <w:numFmt w:val="decimal"/>
      <w:lvlText w:val="%7."/>
      <w:lvlJc w:val="left"/>
      <w:pPr>
        <w:ind w:left="4845" w:hanging="360"/>
      </w:pPr>
      <w:rPr/>
    </w:lvl>
    <w:lvl w:ilvl="7">
      <w:start w:val="1"/>
      <w:numFmt w:val="lowerLetter"/>
      <w:lvlText w:val="%8."/>
      <w:lvlJc w:val="left"/>
      <w:pPr>
        <w:ind w:left="5565" w:hanging="360"/>
      </w:pPr>
      <w:rPr/>
    </w:lvl>
    <w:lvl w:ilvl="8">
      <w:start w:val="1"/>
      <w:numFmt w:val="lowerRoman"/>
      <w:lvlText w:val="%9."/>
      <w:lvlJc w:val="right"/>
      <w:pPr>
        <w:ind w:left="6285" w:hanging="180"/>
      </w:pPr>
      <w:rPr/>
    </w:lvl>
  </w:abstractNum>
  <w:abstractNum w:abstractNumId="6">
    <w:lvl w:ilvl="0">
      <w:start w:val="1"/>
      <w:numFmt w:val="bullet"/>
      <w:lvlText w:val="-"/>
      <w:lvlJc w:val="left"/>
      <w:pPr>
        <w:ind w:left="1440" w:hanging="360"/>
      </w:pPr>
      <w:rPr>
        <w:rFonts w:ascii="Calibri" w:cs="Calibri" w:eastAsia="Calibri" w:hAnsi="Calibri"/>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rFonts w:ascii="Arial" w:cs="Arial" w:eastAsia="Arial" w:hAnsi="Arial"/>
      <w:b w:val="1"/>
      <w:bCs w:val="1"/>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483138"/>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83138"/>
    <w:rPr>
      <w:rFonts w:ascii="Segoe UI" w:cs="Segoe UI" w:hAnsi="Segoe UI"/>
      <w:sz w:val="18"/>
      <w:szCs w:val="18"/>
    </w:rPr>
  </w:style>
  <w:style w:type="character" w:styleId="TtuloCar" w:customStyle="1">
    <w:name w:val="Título Car"/>
    <w:basedOn w:val="Fuentedeprrafopredeter"/>
    <w:link w:val="Ttulo"/>
    <w:rsid w:val="009B2FBD"/>
    <w:rPr>
      <w:rFonts w:ascii="Arial" w:cs="Times New Roman" w:eastAsia="Times New Roman" w:hAnsi="Arial"/>
      <w:b w:val="1"/>
      <w:sz w:val="24"/>
      <w:szCs w:val="20"/>
      <w:lang w:eastAsia="es-ES" w:val="es-ES_tradnl"/>
    </w:rPr>
  </w:style>
  <w:style w:type="paragraph" w:styleId="Textoindependiente">
    <w:name w:val="Body Text"/>
    <w:basedOn w:val="Normal"/>
    <w:link w:val="TextoindependienteCar"/>
    <w:rsid w:val="009B2FBD"/>
    <w:pPr>
      <w:spacing w:before="120"/>
      <w:jc w:val="both"/>
    </w:pPr>
    <w:rPr>
      <w:rFonts w:ascii="Arial" w:hAnsi="Arial"/>
      <w:sz w:val="22"/>
    </w:rPr>
  </w:style>
  <w:style w:type="character" w:styleId="TextoindependienteCar" w:customStyle="1">
    <w:name w:val="Texto independiente Car"/>
    <w:basedOn w:val="Fuentedeprrafopredeter"/>
    <w:link w:val="Textoindependiente"/>
    <w:rsid w:val="009B2FBD"/>
    <w:rPr>
      <w:rFonts w:ascii="Arial" w:cs="Times New Roman" w:eastAsia="Times New Roman" w:hAnsi="Arial"/>
      <w:szCs w:val="20"/>
      <w:lang w:eastAsia="es-ES" w:val="es-ES_tradnl"/>
    </w:rPr>
  </w:style>
  <w:style w:type="paragraph" w:styleId="Sangradetextonormal">
    <w:name w:val="Body Text Indent"/>
    <w:basedOn w:val="Normal"/>
    <w:link w:val="SangradetextonormalCar"/>
    <w:rsid w:val="009B2FBD"/>
    <w:pPr>
      <w:spacing w:before="120"/>
      <w:ind w:left="708"/>
    </w:pPr>
    <w:rPr>
      <w:rFonts w:ascii="Book Antiqua" w:hAnsi="Book Antiqua"/>
      <w:sz w:val="22"/>
    </w:rPr>
  </w:style>
  <w:style w:type="character" w:styleId="SangradetextonormalCar" w:customStyle="1">
    <w:name w:val="Sangría de texto normal Car"/>
    <w:basedOn w:val="Fuentedeprrafopredeter"/>
    <w:link w:val="Sangradetextonormal"/>
    <w:rsid w:val="009B2FBD"/>
    <w:rPr>
      <w:rFonts w:ascii="Book Antiqua" w:cs="Times New Roman" w:eastAsia="Times New Roman" w:hAnsi="Book Antiqua"/>
      <w:szCs w:val="20"/>
      <w:lang w:eastAsia="es-ES" w:val="es-ES_tradnl"/>
    </w:rPr>
  </w:style>
  <w:style w:type="paragraph" w:styleId="Sangra2detindependiente">
    <w:name w:val="Body Text Indent 2"/>
    <w:basedOn w:val="Normal"/>
    <w:link w:val="Sangra2detindependienteCar"/>
    <w:rsid w:val="009B2FBD"/>
    <w:pPr>
      <w:spacing w:before="120"/>
      <w:ind w:left="708"/>
      <w:jc w:val="both"/>
    </w:pPr>
    <w:rPr>
      <w:rFonts w:ascii="Book Antiqua" w:hAnsi="Book Antiqua"/>
      <w:sz w:val="22"/>
    </w:rPr>
  </w:style>
  <w:style w:type="character" w:styleId="Sangra2detindependienteCar" w:customStyle="1">
    <w:name w:val="Sangría 2 de t. independiente Car"/>
    <w:basedOn w:val="Fuentedeprrafopredeter"/>
    <w:link w:val="Sangra2detindependiente"/>
    <w:rsid w:val="009B2FBD"/>
    <w:rPr>
      <w:rFonts w:ascii="Book Antiqua" w:cs="Times New Roman" w:eastAsia="Times New Roman" w:hAnsi="Book Antiqua"/>
      <w:szCs w:val="20"/>
      <w:lang w:eastAsia="es-ES" w:val="es-ES_tradnl"/>
    </w:rPr>
  </w:style>
  <w:style w:type="paragraph" w:styleId="Prrafodelista">
    <w:name w:val="List Paragraph"/>
    <w:basedOn w:val="Normal"/>
    <w:uiPriority w:val="34"/>
    <w:qFormat w:val="1"/>
    <w:rsid w:val="00195840"/>
    <w:pPr>
      <w:ind w:left="720"/>
      <w:contextualSpacing w:val="1"/>
    </w:pPr>
  </w:style>
  <w:style w:type="paragraph" w:styleId="a" w:customStyle="1">
    <w:basedOn w:val="Normal"/>
    <w:next w:val="Ttulo"/>
    <w:qFormat w:val="1"/>
    <w:rsid w:val="00A076C8"/>
    <w:pPr>
      <w:jc w:val="center"/>
    </w:pPr>
    <w:rPr>
      <w:rFonts w:ascii="Arial" w:hAnsi="Arial"/>
      <w:b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BJr1oJ4gjprIZbNwCLhEOOooWg==">CgMxLjA4AHIhMTE4VzBBZ1NiN0taaWpiLUZ1QTdBamxsX0dPOUIxRWJN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2023-10-24T01:37:00Z</dcterms:created>
  <dc:creator>Usuario de Windows</dc:creator>
</cp:coreProperties>
</file>